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 xml:space="preserve">Изделия неформовые </w:t>
      </w:r>
      <w:proofErr w:type="spellStart"/>
      <w:proofErr w:type="gramStart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резино</w:t>
      </w:r>
      <w:proofErr w:type="spellEnd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-технические</w:t>
      </w:r>
      <w:proofErr w:type="gram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14B5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F1EBA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F1EB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F1EB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DF492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F492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611CF" w:rsidRPr="00E611CF">
              <w:rPr>
                <w:bCs/>
                <w:color w:val="000000"/>
                <w:spacing w:val="-2"/>
              </w:rPr>
              <w:t xml:space="preserve">Изделия неформовые </w:t>
            </w:r>
            <w:proofErr w:type="gramStart"/>
            <w:r w:rsidR="00E611CF" w:rsidRPr="00E611CF">
              <w:rPr>
                <w:bCs/>
                <w:color w:val="000000"/>
                <w:spacing w:val="-2"/>
              </w:rPr>
              <w:t>резино-технические</w:t>
            </w:r>
            <w:proofErr w:type="gram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F4924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DF4924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F4924">
              <w:rPr>
                <w:bCs/>
                <w:spacing w:val="-2"/>
              </w:rPr>
              <w:t>Продавца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F1EBA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1F1EB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1F1EBA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DF492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1EBA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4B5C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37AC0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4924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320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2019-09-16T02:30:00Z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